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43"/>
        <w:jc w:val="center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ПОРЯДОК</w:t>
      </w:r>
      <w:r>
        <w:rPr>
          <w:rFonts w:ascii="Times New Roman" w:hAnsi="Times New Roman" w:eastAsia="Times New Roman" w:cs="Times New Roman"/>
          <w:b/>
          <w:sz w:val="24"/>
          <w:szCs w:val="24"/>
        </w:rPr>
      </w:r>
      <w:r>
        <w:rPr>
          <w:rFonts w:ascii="Times New Roman" w:hAnsi="Times New Roman" w:eastAsia="Times New Roman" w:cs="Times New Roman"/>
          <w:b/>
          <w:sz w:val="24"/>
          <w:szCs w:val="24"/>
        </w:rPr>
      </w:r>
    </w:p>
    <w:p>
      <w:pPr>
        <w:pStyle w:val="843"/>
        <w:ind w:left="-284"/>
        <w:jc w:val="center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проведения 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обследования 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ТПМПК №1 (дошкольной) Автозаводского района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  <w:szCs w:val="24"/>
        </w:rPr>
      </w:r>
      <w:r>
        <w:rPr>
          <w:rFonts w:ascii="Times New Roman" w:hAnsi="Times New Roman" w:eastAsia="Times New Roman" w:cs="Times New Roman"/>
          <w:b/>
          <w:sz w:val="24"/>
          <w:szCs w:val="24"/>
        </w:rPr>
      </w:r>
    </w:p>
    <w:p>
      <w:pPr>
        <w:jc w:val="center"/>
        <w:spacing w:after="0" w:line="240" w:lineRule="auto"/>
        <w:tabs>
          <w:tab w:val="left" w:pos="4395" w:leader="none"/>
          <w:tab w:val="left" w:pos="4820" w:leader="none"/>
        </w:tabs>
        <w:rPr>
          <w:rFonts w:ascii="Times New Roman" w:hAnsi="Times New Roman" w:eastAsia="Times New Roman" w:cs="Times New Roman"/>
          <w:sz w:val="24"/>
          <w:szCs w:val="24"/>
          <w14:ligatures w14:val="none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МАУ «ППМС-центр им. В.П.Радченко» города Нижнего Новгорода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14:ligatures w14:val="none"/>
        </w:rPr>
      </w:r>
      <w:r>
        <w:rPr>
          <w:rFonts w:ascii="Times New Roman" w:hAnsi="Times New Roman" w:eastAsia="Times New Roman" w:cs="Times New Roman"/>
          <w:sz w:val="24"/>
          <w:szCs w:val="24"/>
          <w14:ligatures w14:val="none"/>
        </w:rPr>
      </w:r>
    </w:p>
    <w:p>
      <w:pPr>
        <w:ind w:left="0" w:right="0" w:firstLine="425"/>
        <w:spacing w:after="0" w:line="240" w:lineRule="auto"/>
        <w:tabs>
          <w:tab w:val="left" w:pos="4395" w:leader="none"/>
          <w:tab w:val="left" w:pos="4820" w:leader="none"/>
        </w:tabs>
        <w:rPr>
          <w:rFonts w:ascii="Times New Roman" w:hAnsi="Times New Roman" w:eastAsia="Times New Roman" w:cs="Times New Roman"/>
          <w:sz w:val="24"/>
          <w:szCs w:val="24"/>
          <w14:ligatures w14:val="none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Обследование ребенка в ТПМПК №1 (дошкольной) Автозаводского района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МАУ «ППМС-центр им. В.П.Радченко»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осуществляется на основании заявления родителей (законных представителей) обследуемого. Обследование лиц, достигших 18 лет и старше, осуществляется на основании их личного заявления. Заявление оформляется в соответствии с утвержденной формой.</w:t>
      </w:r>
      <w:r>
        <w:rPr>
          <w:rFonts w:ascii="Times New Roman" w:hAnsi="Times New Roman" w:eastAsia="Times New Roman" w:cs="Times New Roman"/>
          <w:sz w:val="24"/>
          <w:szCs w:val="24"/>
          <w14:ligatures w14:val="none"/>
        </w:rPr>
      </w:r>
      <w:r>
        <w:rPr>
          <w:rFonts w:ascii="Times New Roman" w:hAnsi="Times New Roman" w:eastAsia="Times New Roman" w:cs="Times New Roman"/>
          <w:sz w:val="24"/>
          <w:szCs w:val="24"/>
          <w14:ligatures w14:val="none"/>
        </w:rPr>
      </w:r>
    </w:p>
    <w:p>
      <w:pPr>
        <w:ind w:left="0" w:right="0" w:firstLine="425"/>
        <w:spacing w:after="0" w:line="240" w:lineRule="auto"/>
        <w:tabs>
          <w:tab w:val="left" w:pos="4395" w:leader="none"/>
          <w:tab w:val="left" w:pos="4820" w:leader="none"/>
        </w:tabs>
        <w:rPr>
          <w:rFonts w:ascii="Times New Roman" w:hAnsi="Times New Roman" w:eastAsia="Times New Roman" w:cs="Times New Roman"/>
          <w:sz w:val="24"/>
          <w:szCs w:val="24"/>
          <w14:ligatures w14:val="none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Обследование в ТПМПК №1 (дошкольной) Автозаводского района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МАУ «ППМС-центр им. В.П.Радченко» 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проводится ТПМПК в срок не позднее 2 месяцев со дня подачи заявления и представления пакета документов согласно перечню ТПМПК №1 (дошкольную) Автозаводского района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МАУ «ППМС-центр им. В.П.Радченко»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.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14:ligatures w14:val="none"/>
        </w:rPr>
      </w:r>
      <w:r>
        <w:rPr>
          <w:rFonts w:ascii="Times New Roman" w:hAnsi="Times New Roman" w:eastAsia="Times New Roman" w:cs="Times New Roman"/>
          <w:sz w:val="24"/>
          <w:szCs w:val="24"/>
          <w14:ligatures w14:val="none"/>
        </w:rPr>
      </w:r>
    </w:p>
    <w:p>
      <w:pPr>
        <w:ind w:left="0" w:right="0" w:firstLine="425"/>
        <w:spacing w:after="0" w:line="240" w:lineRule="auto"/>
        <w:tabs>
          <w:tab w:val="left" w:pos="4395" w:leader="none"/>
          <w:tab w:val="left" w:pos="4820" w:leader="none"/>
        </w:tabs>
        <w:rPr>
          <w:rFonts w:ascii="Times New Roman" w:hAnsi="Times New Roman" w:eastAsia="Times New Roman" w:cs="Times New Roman"/>
          <w:sz w:val="24"/>
          <w:szCs w:val="24"/>
          <w14:ligatures w14:val="none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Обследование и (или) консультирование специалистами ТПМПК осуществляется бесплатно.</w:t>
      </w:r>
      <w:r>
        <w:rPr>
          <w:rFonts w:ascii="Times New Roman" w:hAnsi="Times New Roman" w:eastAsia="Times New Roman" w:cs="Times New Roman"/>
          <w:sz w:val="24"/>
          <w:szCs w:val="24"/>
          <w14:ligatures w14:val="none"/>
        </w:rPr>
      </w:r>
      <w:r>
        <w:rPr>
          <w:rFonts w:ascii="Times New Roman" w:hAnsi="Times New Roman" w:eastAsia="Times New Roman" w:cs="Times New Roman"/>
          <w:sz w:val="24"/>
          <w:szCs w:val="24"/>
          <w14:ligatures w14:val="none"/>
        </w:rPr>
      </w:r>
    </w:p>
    <w:p>
      <w:pPr>
        <w:pStyle w:val="843"/>
        <w:ind w:left="0" w:right="0" w:firstLine="425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Комплексное психолого-медико-педагогическое обследование в ТПМПК представляет собой междисциплинарную командную работу специалистов комиссии.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left="0" w:right="0" w:firstLine="425"/>
        <w:spacing w:after="0" w:line="240" w:lineRule="auto"/>
        <w:tabs>
          <w:tab w:val="left" w:pos="4395" w:leader="none"/>
          <w:tab w:val="left" w:pos="4820" w:leader="none"/>
        </w:tabs>
        <w:rPr>
          <w:rFonts w:ascii="Times New Roman" w:hAnsi="Times New Roman" w:eastAsia="Times New Roman" w:cs="Times New Roman"/>
          <w:sz w:val="24"/>
          <w:szCs w:val="24"/>
          <w14:ligatures w14:val="none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Проведение обследования в ТПМПК №1 (дошкольной) Автозаводского района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МАУ «ППМС-центр им. В.П.Радченко»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осуществляется ведущим специалистом, каждым специалистом ТПМПК №1 (дошкольной) Автозаводского района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МАУ «ППМС-центр им. В.П.Радченко»</w:t>
      </w:r>
      <w:r>
        <w:rPr>
          <w:rFonts w:ascii="Times New Roman" w:hAnsi="Times New Roman" w:eastAsia="Times New Roman" w:cs="Times New Roman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индивидуально (последовательно) или несколькими специалистами одновременно.</w:t>
      </w:r>
      <w:r>
        <w:rPr>
          <w:rFonts w:ascii="Times New Roman" w:hAnsi="Times New Roman" w:eastAsia="Times New Roman" w:cs="Times New Roman"/>
          <w:sz w:val="24"/>
          <w:szCs w:val="24"/>
          <w14:ligatures w14:val="none"/>
        </w:rPr>
      </w:r>
      <w:r>
        <w:rPr>
          <w:rFonts w:ascii="Times New Roman" w:hAnsi="Times New Roman" w:eastAsia="Times New Roman" w:cs="Times New Roman"/>
          <w:sz w:val="24"/>
          <w:szCs w:val="24"/>
          <w14:ligatures w14:val="none"/>
        </w:rPr>
      </w:r>
    </w:p>
    <w:p>
      <w:pPr>
        <w:ind w:left="0" w:right="0" w:firstLine="425"/>
        <w:spacing w:after="0" w:line="240" w:lineRule="auto"/>
        <w:tabs>
          <w:tab w:val="left" w:pos="4395" w:leader="none"/>
          <w:tab w:val="left" w:pos="4820" w:leader="none"/>
        </w:tabs>
        <w:rPr>
          <w:rFonts w:ascii="Times New Roman" w:hAnsi="Times New Roman" w:eastAsia="Times New Roman" w:cs="Times New Roman"/>
          <w:sz w:val="24"/>
          <w:szCs w:val="24"/>
          <w14:ligatures w14:val="none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При недостаточности сведений о состоянии здоровья обследуемого или в случае необходимости уточнения диагноза ТПМПК №1 (дошкольная) Автозаводского района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МАУ «ППМС-центр им. В.П.Радченко»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вправе запросить дополнительную информацию о состоянии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здоровья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обследуемого в срок не позднее 5 рабочих дней.</w:t>
      </w:r>
      <w:r>
        <w:rPr>
          <w:rFonts w:ascii="Times New Roman" w:hAnsi="Times New Roman" w:eastAsia="Times New Roman" w:cs="Times New Roman"/>
          <w:sz w:val="24"/>
          <w:szCs w:val="24"/>
          <w14:ligatures w14:val="none"/>
        </w:rPr>
      </w:r>
      <w:r>
        <w:rPr>
          <w:rFonts w:ascii="Times New Roman" w:hAnsi="Times New Roman" w:eastAsia="Times New Roman" w:cs="Times New Roman"/>
          <w:sz w:val="24"/>
          <w:szCs w:val="24"/>
          <w14:ligatures w14:val="none"/>
        </w:rPr>
      </w:r>
    </w:p>
    <w:p>
      <w:pPr>
        <w:ind w:left="0" w:right="0" w:firstLine="425"/>
        <w:spacing w:after="0" w:line="240" w:lineRule="auto"/>
        <w:tabs>
          <w:tab w:val="left" w:pos="4395" w:leader="none"/>
          <w:tab w:val="left" w:pos="4820" w:leader="none"/>
        </w:tabs>
        <w:rPr>
          <w:rFonts w:ascii="Times New Roman" w:hAnsi="Times New Roman" w:eastAsia="Times New Roman" w:cs="Times New Roman"/>
          <w:sz w:val="24"/>
          <w:szCs w:val="24"/>
          <w14:ligatures w14:val="none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Процедура прохождения ТПМПК №1 (дошкольной) Автозаводского района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МАУ «ППМС-центр им. В.П.Радченко»</w:t>
      </w:r>
      <w:r>
        <w:rPr>
          <w:rFonts w:ascii="Times New Roman" w:hAnsi="Times New Roman" w:eastAsia="Times New Roman" w:cs="Times New Roman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занимает  в среднем - 1 час (время, затра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ченное на процедуру, складывается из беседы, заполнения документов, изучения документов специалистами, проводящими обследование, непосредственно сама процедура обследования, беседа с целью уточнения имеющихся данных, обсуждения рекомендаций, консультаций).</w:t>
      </w:r>
      <w:r>
        <w:rPr>
          <w:rFonts w:ascii="Times New Roman" w:hAnsi="Times New Roman" w:eastAsia="Times New Roman" w:cs="Times New Roman"/>
          <w:sz w:val="24"/>
          <w:szCs w:val="24"/>
          <w14:ligatures w14:val="none"/>
        </w:rPr>
      </w:r>
      <w:r>
        <w:rPr>
          <w:rFonts w:ascii="Times New Roman" w:hAnsi="Times New Roman" w:eastAsia="Times New Roman" w:cs="Times New Roman"/>
          <w:sz w:val="24"/>
          <w:szCs w:val="24"/>
          <w14:ligatures w14:val="none"/>
        </w:rPr>
      </w:r>
    </w:p>
    <w:p>
      <w:pPr>
        <w:ind w:left="0" w:right="0" w:firstLine="425"/>
        <w:spacing w:after="0" w:line="240" w:lineRule="auto"/>
        <w:tabs>
          <w:tab w:val="left" w:pos="4395" w:leader="none"/>
          <w:tab w:val="left" w:pos="4820" w:leader="none"/>
        </w:tabs>
        <w:rPr>
          <w:rFonts w:ascii="Times New Roman" w:hAnsi="Times New Roman" w:eastAsia="Times New Roman" w:cs="Times New Roman"/>
          <w:sz w:val="24"/>
          <w:szCs w:val="24"/>
          <w14:ligatures w14:val="none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Проведение обследования в ТПМПК №1 (дошкольной) Автозаводского района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МАУ «ППМС-центр им. В.П.Радченко»</w:t>
      </w:r>
      <w:r>
        <w:rPr>
          <w:rFonts w:ascii="Times New Roman" w:hAnsi="Times New Roman" w:eastAsia="Times New Roman" w:cs="Times New Roman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включает в себя 3 этапа.</w:t>
      </w:r>
      <w:r>
        <w:rPr>
          <w:rFonts w:ascii="Times New Roman" w:hAnsi="Times New Roman" w:eastAsia="Times New Roman" w:cs="Times New Roman"/>
          <w:sz w:val="24"/>
          <w:szCs w:val="24"/>
          <w14:ligatures w14:val="none"/>
        </w:rPr>
      </w:r>
      <w:r>
        <w:rPr>
          <w:rFonts w:ascii="Times New Roman" w:hAnsi="Times New Roman" w:eastAsia="Times New Roman" w:cs="Times New Roman"/>
          <w:sz w:val="24"/>
          <w:szCs w:val="24"/>
          <w14:ligatures w14:val="none"/>
        </w:rPr>
      </w:r>
    </w:p>
    <w:p>
      <w:pPr>
        <w:pStyle w:val="843"/>
        <w:ind w:left="0" w:right="0" w:firstLine="425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Этап 1.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Подготовительный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843"/>
        <w:ind w:left="0" w:right="0" w:firstLine="425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Работа с документами личного дела обследуемого.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843"/>
        <w:ind w:left="0" w:right="0" w:firstLine="425"/>
        <w:jc w:val="both"/>
        <w:spacing w:after="0" w:line="240" w:lineRule="auto"/>
        <w:rPr>
          <w:rFonts w:ascii="Times New Roman" w:hAnsi="Times New Roman" w:eastAsia="Times New Roman" w:cs="Times New Roman"/>
          <w:b w:val="0"/>
          <w:bCs w:val="0"/>
          <w:color w:val="000000"/>
          <w:sz w:val="24"/>
          <w:szCs w:val="24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  <w:szCs w:val="24"/>
        </w:rPr>
        <w:t xml:space="preserve">из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  <w:szCs w:val="24"/>
        </w:rPr>
        <w:t xml:space="preserve">учение и анализ медицинской и педагогической документации обследуемого в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  <w:szCs w:val="24"/>
        </w:rPr>
        <w:t xml:space="preserve">ТПМПК №1 (дошкольной) Автозаводского района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  <w:szCs w:val="24"/>
          <w:lang w:eastAsia="ru-RU"/>
        </w:rPr>
        <w:t xml:space="preserve">МАУ «ППМС-центр им. В.П.Радченко»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  <w:szCs w:val="24"/>
        </w:rPr>
        <w:t xml:space="preserve">;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  <w:szCs w:val="24"/>
        </w:rPr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  <w:szCs w:val="24"/>
          <w14:ligatures w14:val="none"/>
        </w:rPr>
      </w:r>
    </w:p>
    <w:p>
      <w:pPr>
        <w:pStyle w:val="843"/>
        <w:ind w:left="425" w:right="0" w:firstLine="0"/>
        <w:jc w:val="both"/>
        <w:spacing w:after="0" w:line="240" w:lineRule="auto"/>
        <w:rPr>
          <w:rFonts w:ascii="Times New Roman" w:hAnsi="Times New Roman" w:eastAsia="Times New Roman" w:cs="Times New Roman"/>
          <w:b w:val="0"/>
          <w:bCs w:val="0"/>
          <w:color w:val="000000"/>
          <w:sz w:val="24"/>
          <w:szCs w:val="24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  <w:szCs w:val="24"/>
        </w:rPr>
        <w:t xml:space="preserve">планирование коллегиального обследования.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  <w:szCs w:val="24"/>
          <w14:ligatures w14:val="none"/>
        </w:rPr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  <w:szCs w:val="24"/>
          <w14:ligatures w14:val="none"/>
        </w:rPr>
      </w:r>
    </w:p>
    <w:p>
      <w:pPr>
        <w:pStyle w:val="843"/>
        <w:ind w:left="0" w:right="0" w:firstLine="425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 xml:space="preserve">Запись на проведение обследования на комиссии осуществляется при подаче полного пакета документов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. Родителей (законных представителей), совершеннолетнего обследуемого (лицо, достигшее 18 лет и старше) информируют о дате, времени и порядке проведения обследования, а также об их правах и правах ребенка, связанных с проведением обследования.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</w:p>
    <w:p>
      <w:pPr>
        <w:pStyle w:val="843"/>
        <w:ind w:left="0" w:right="0" w:firstLine="425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Этап 2.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Диагностический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left="0" w:right="0" w:firstLine="425"/>
        <w:spacing w:after="0" w:line="240" w:lineRule="auto"/>
        <w:tabs>
          <w:tab w:val="left" w:pos="4395" w:leader="none"/>
          <w:tab w:val="left" w:pos="4820" w:leader="none"/>
        </w:tabs>
        <w:rPr>
          <w:rFonts w:ascii="Times New Roman" w:hAnsi="Times New Roman" w:eastAsia="Times New Roman" w:cs="Times New Roman"/>
          <w:sz w:val="24"/>
          <w:szCs w:val="24"/>
          <w14:ligatures w14:val="none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Обследование ребёнка на ТПМПК №1 (дошкольной) Автозаводского района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МАУ «ППМС-центр им. В.П.Радченко»  </w:t>
      </w:r>
      <w:r>
        <w:rPr>
          <w:rFonts w:ascii="Times New Roman" w:hAnsi="Times New Roman" w:eastAsia="Times New Roman" w:cs="Times New Roman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проводится только в присутствии родителей (законных представителей) и строго по указанному времени. </w:t>
      </w:r>
      <w:r>
        <w:rPr>
          <w:rFonts w:ascii="Times New Roman" w:hAnsi="Times New Roman" w:eastAsia="Times New Roman" w:cs="Times New Roman"/>
          <w:sz w:val="24"/>
          <w:szCs w:val="24"/>
          <w14:ligatures w14:val="none"/>
        </w:rPr>
      </w:r>
      <w:r>
        <w:rPr>
          <w:rFonts w:ascii="Times New Roman" w:hAnsi="Times New Roman" w:eastAsia="Times New Roman" w:cs="Times New Roman"/>
          <w:sz w:val="24"/>
          <w:szCs w:val="24"/>
          <w14:ligatures w14:val="none"/>
        </w:rPr>
      </w:r>
    </w:p>
    <w:p>
      <w:pPr>
        <w:ind w:left="0" w:right="0" w:firstLine="425"/>
        <w:spacing w:after="0" w:line="240" w:lineRule="auto"/>
        <w:tabs>
          <w:tab w:val="left" w:pos="4395" w:leader="none"/>
          <w:tab w:val="left" w:pos="4820" w:leader="none"/>
        </w:tabs>
        <w:rPr>
          <w:rFonts w:ascii="Times New Roman" w:hAnsi="Times New Roman" w:eastAsia="Times New Roman" w:cs="Times New Roman"/>
          <w:sz w:val="24"/>
          <w:szCs w:val="24"/>
          <w14:ligatures w14:val="none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  При невозможности быть на обследовании в назначенный день – необходимо сообщить данную информацию в ТПМПК №1 (дошкольную) Автозаводского района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МАУ «ППМС-центр им. В.П.Радченко»  </w:t>
      </w:r>
      <w:r>
        <w:rPr>
          <w:rFonts w:ascii="Times New Roman" w:hAnsi="Times New Roman" w:eastAsia="Times New Roman" w:cs="Times New Roman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для согласования новой даты приёма.</w:t>
      </w:r>
      <w:r>
        <w:rPr>
          <w:rFonts w:ascii="Times New Roman" w:hAnsi="Times New Roman" w:eastAsia="Times New Roman" w:cs="Times New Roman"/>
          <w:sz w:val="24"/>
          <w:szCs w:val="24"/>
          <w14:ligatures w14:val="none"/>
        </w:rPr>
      </w:r>
      <w:r>
        <w:rPr>
          <w:rFonts w:ascii="Times New Roman" w:hAnsi="Times New Roman" w:eastAsia="Times New Roman" w:cs="Times New Roman"/>
          <w:sz w:val="24"/>
          <w:szCs w:val="24"/>
          <w14:ligatures w14:val="none"/>
        </w:rPr>
      </w:r>
    </w:p>
    <w:p>
      <w:pPr>
        <w:ind w:left="0" w:right="0" w:firstLine="425"/>
        <w:spacing w:after="0" w:line="240" w:lineRule="auto"/>
        <w:tabs>
          <w:tab w:val="left" w:pos="4395" w:leader="none"/>
          <w:tab w:val="left" w:pos="4820" w:leader="none"/>
        </w:tabs>
        <w:rPr>
          <w:rFonts w:ascii="Times New Roman" w:hAnsi="Times New Roman" w:eastAsia="Times New Roman" w:cs="Times New Roman"/>
          <w:sz w:val="24"/>
          <w:szCs w:val="24"/>
          <w14:ligatures w14:val="none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Специалисты ТПМПК №1 (дошкольной) Автозаводского района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МАУ «ППМС-центр им. В.П.Радченко» </w:t>
      </w:r>
      <w:r>
        <w:rPr>
          <w:rFonts w:ascii="Times New Roman" w:hAnsi="Times New Roman" w:eastAsia="Times New Roman" w:cs="Times New Roman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в праве не принимать обследуемого и сопровождающего родителя (законного представителя) с простудными и инфекционными заболеваниями.</w:t>
      </w:r>
      <w:r>
        <w:rPr>
          <w:rFonts w:ascii="Times New Roman" w:hAnsi="Times New Roman" w:eastAsia="Times New Roman" w:cs="Times New Roman"/>
          <w:sz w:val="24"/>
          <w:szCs w:val="24"/>
          <w14:ligatures w14:val="none"/>
        </w:rPr>
      </w:r>
      <w:r>
        <w:rPr>
          <w:rFonts w:ascii="Times New Roman" w:hAnsi="Times New Roman" w:eastAsia="Times New Roman" w:cs="Times New Roman"/>
          <w:sz w:val="24"/>
          <w:szCs w:val="24"/>
          <w14:ligatures w14:val="none"/>
        </w:rPr>
      </w:r>
    </w:p>
    <w:p>
      <w:pPr>
        <w:ind w:left="0" w:right="0" w:firstLine="425"/>
        <w:spacing w:after="0" w:line="240" w:lineRule="auto"/>
        <w:tabs>
          <w:tab w:val="left" w:pos="4395" w:leader="none"/>
          <w:tab w:val="left" w:pos="4820" w:leader="none"/>
        </w:tabs>
        <w:rPr>
          <w:rFonts w:ascii="Times New Roman" w:hAnsi="Times New Roman" w:eastAsia="Times New Roman" w:cs="Times New Roman"/>
          <w:sz w:val="24"/>
          <w:szCs w:val="24"/>
          <w14:ligatures w14:val="none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Обследование ребёнка либо совершеннолетнего обследуемого на ТПМПК №1 (дошкольную) Автозаводского района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МАУ «ППМС-центр им. В.П.Радченко» </w:t>
      </w:r>
      <w:r>
        <w:rPr>
          <w:rFonts w:ascii="Times New Roman" w:hAnsi="Times New Roman" w:eastAsia="Times New Roman" w:cs="Times New Roman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возможно только при добровольном согласии родителей (законных представителей) либо совершеннолетнего обследуемого, осознающих важность обследования для решения той или иной проблемы развития и защиты интересов и прав.</w:t>
      </w:r>
      <w:r>
        <w:rPr>
          <w:rFonts w:ascii="Times New Roman" w:hAnsi="Times New Roman" w:eastAsia="Times New Roman" w:cs="Times New Roman"/>
          <w:sz w:val="24"/>
          <w:szCs w:val="24"/>
          <w14:ligatures w14:val="none"/>
        </w:rPr>
      </w:r>
      <w:r>
        <w:rPr>
          <w:rFonts w:ascii="Times New Roman" w:hAnsi="Times New Roman" w:eastAsia="Times New Roman" w:cs="Times New Roman"/>
          <w:sz w:val="24"/>
          <w:szCs w:val="24"/>
          <w14:ligatures w14:val="none"/>
        </w:rPr>
      </w:r>
    </w:p>
    <w:p>
      <w:pPr>
        <w:ind w:left="0" w:right="0" w:firstLine="425"/>
        <w:spacing w:after="0" w:line="240" w:lineRule="auto"/>
        <w:tabs>
          <w:tab w:val="left" w:pos="4395" w:leader="none"/>
          <w:tab w:val="left" w:pos="4820" w:leader="none"/>
        </w:tabs>
        <w:rPr>
          <w:rFonts w:ascii="Times New Roman" w:hAnsi="Times New Roman" w:eastAsia="Times New Roman" w:cs="Times New Roman"/>
          <w:color w:val="000000"/>
          <w:sz w:val="24"/>
          <w:szCs w:val="24"/>
          <w14:ligatures w14:val="none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В кабинет приглашается родитель (законный представитель) и ребенок; совершеннолетний обследуе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мый (лицо, достигшее 18 лет и старше):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14:ligatures w14:val="none"/>
        </w:rPr>
      </w:r>
    </w:p>
    <w:p>
      <w:pPr>
        <w:ind w:left="425" w:right="0" w:firstLine="0"/>
        <w:spacing w:after="0" w:line="240" w:lineRule="auto"/>
        <w:tabs>
          <w:tab w:val="left" w:pos="4395" w:leader="none"/>
          <w:tab w:val="left" w:pos="4820" w:leader="none"/>
        </w:tabs>
        <w:rPr>
          <w:rFonts w:ascii="Times New Roman" w:hAnsi="Times New Roman" w:eastAsia="Times New Roman" w:cs="Times New Roman"/>
          <w:color w:val="000000"/>
          <w:sz w:val="24"/>
          <w:szCs w:val="24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-знакомство с обследуемым, установление контакта;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14:ligatures w14:val="none"/>
        </w:rPr>
      </w:r>
    </w:p>
    <w:p>
      <w:pPr>
        <w:ind w:left="0" w:right="0" w:firstLine="425"/>
        <w:spacing w:after="0" w:line="240" w:lineRule="auto"/>
        <w:tabs>
          <w:tab w:val="left" w:pos="4395" w:leader="none"/>
          <w:tab w:val="left" w:pos="4820" w:leader="none"/>
        </w:tabs>
        <w:rPr>
          <w:rFonts w:ascii="Times New Roman" w:hAnsi="Times New Roman" w:eastAsia="Times New Roman" w:cs="Times New Roman"/>
          <w:color w:val="000000"/>
          <w:sz w:val="24"/>
          <w:szCs w:val="24"/>
          <w14:ligatures w14:val="non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-проведение комплексного обследования специалистами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ТПМПК №1 (дошкольной) Автозаводского района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МАУ «ППМС-центр им. В.П.Радченко»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(обследование  педагога-психолога,   учителя-дефектолога,  учителя-логопеда);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14:ligatures w14:val="none"/>
        </w:rPr>
      </w:r>
    </w:p>
    <w:p>
      <w:pPr>
        <w:ind w:left="0" w:right="0" w:firstLine="425"/>
        <w:spacing w:after="0" w:line="240" w:lineRule="auto"/>
        <w:tabs>
          <w:tab w:val="left" w:pos="4395" w:leader="none"/>
          <w:tab w:val="left" w:pos="4820" w:leader="none"/>
        </w:tabs>
        <w:rPr>
          <w:rFonts w:ascii="Times New Roman" w:hAnsi="Times New Roman" w:eastAsia="Times New Roman" w:cs="Times New Roman"/>
          <w:sz w:val="24"/>
          <w:szCs w:val="24"/>
          <w14:ligatures w14:val="non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наблюдение деятельности обследуемого в процессе его обследования другими специалистами (гибкое подключение других специалистов). Экспресс-анализ результатов собственной диагностики каждым специалистом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ТПМПК №1 (дошкольной) Автозаводского района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МАУ «ППМС-центр им. В.П.Радченко»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;</w:t>
      </w:r>
      <w:r>
        <w:rPr>
          <w:rFonts w:ascii="Times New Roman" w:hAnsi="Times New Roman" w:eastAsia="Times New Roman" w:cs="Times New Roman"/>
          <w:sz w:val="24"/>
          <w:szCs w:val="24"/>
          <w14:ligatures w14:val="none"/>
        </w:rPr>
      </w:r>
      <w:r>
        <w:rPr>
          <w:rFonts w:ascii="Times New Roman" w:hAnsi="Times New Roman" w:eastAsia="Times New Roman" w:cs="Times New Roman"/>
          <w:sz w:val="24"/>
          <w:szCs w:val="24"/>
          <w14:ligatures w14:val="none"/>
        </w:rPr>
      </w:r>
    </w:p>
    <w:p>
      <w:pPr>
        <w:ind w:left="0" w:right="0" w:firstLine="425"/>
        <w:spacing w:after="0" w:line="240" w:lineRule="auto"/>
        <w:tabs>
          <w:tab w:val="left" w:pos="4395" w:leader="none"/>
          <w:tab w:val="left" w:pos="4820" w:leader="none"/>
        </w:tabs>
        <w:rPr>
          <w:rFonts w:ascii="Times New Roman" w:hAnsi="Times New Roman" w:eastAsia="Times New Roman" w:cs="Times New Roman"/>
          <w:sz w:val="24"/>
          <w:szCs w:val="24"/>
          <w14:ligatures w14:val="non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коллегиальное обсуждение результатов обследования (проводится в отсутствии обследуемого), формирование заключения и разработка рекомендаций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ТПМПК №1 (дошкольной) Автозаводского района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МАУ «ППМС-центр им. В.П.Радченко»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.</w:t>
      </w:r>
      <w:r>
        <w:rPr>
          <w:rFonts w:ascii="Times New Roman" w:hAnsi="Times New Roman" w:eastAsia="Times New Roman" w:cs="Times New Roman"/>
          <w:sz w:val="24"/>
          <w:szCs w:val="24"/>
          <w14:ligatures w14:val="none"/>
        </w:rPr>
      </w:r>
      <w:r>
        <w:rPr>
          <w:rFonts w:ascii="Times New Roman" w:hAnsi="Times New Roman" w:eastAsia="Times New Roman" w:cs="Times New Roman"/>
          <w:sz w:val="24"/>
          <w:szCs w:val="24"/>
          <w14:ligatures w14:val="none"/>
        </w:rPr>
      </w:r>
    </w:p>
    <w:p>
      <w:pPr>
        <w:pStyle w:val="843"/>
        <w:ind w:left="0" w:right="0" w:firstLine="425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При решении комиссии о дополнительном обследовании назначается приём в другой день.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</w:p>
    <w:p>
      <w:pPr>
        <w:ind w:left="0" w:right="0" w:firstLine="425"/>
        <w:spacing w:after="0" w:line="240" w:lineRule="auto"/>
        <w:tabs>
          <w:tab w:val="left" w:pos="4395" w:leader="none"/>
          <w:tab w:val="left" w:pos="4820" w:leader="none"/>
        </w:tabs>
        <w:rPr>
          <w:rFonts w:ascii="Times New Roman" w:hAnsi="Times New Roman" w:eastAsia="Times New Roman" w:cs="Times New Roman"/>
          <w:sz w:val="24"/>
          <w:szCs w:val="24"/>
          <w14:ligatures w14:val="non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В случае необходимости,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ТПМПК №1 (дошкольная) Автозаводского района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МАУ «ППМС-центр им. В.П.Радченко»</w:t>
      </w:r>
      <w:r>
        <w:rPr>
          <w:rFonts w:ascii="Times New Roman" w:hAnsi="Times New Roman" w:eastAsia="Times New Roman" w:cs="Times New Roman"/>
          <w:color w:val="000000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направляет ребенка для проведения обследования в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Территориальную психолого-медико-педагогическую комиссию (городской отдел)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МАУ «ППМС-центр им. В.П.Радченко»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.</w:t>
      </w:r>
      <w:r>
        <w:rPr>
          <w:rFonts w:ascii="Times New Roman" w:hAnsi="Times New Roman" w:eastAsia="Times New Roman" w:cs="Times New Roman"/>
          <w:sz w:val="24"/>
          <w:szCs w:val="24"/>
          <w14:ligatures w14:val="none"/>
        </w:rPr>
      </w:r>
      <w:r>
        <w:rPr>
          <w:rFonts w:ascii="Times New Roman" w:hAnsi="Times New Roman" w:eastAsia="Times New Roman" w:cs="Times New Roman"/>
          <w:sz w:val="24"/>
          <w:szCs w:val="24"/>
          <w14:ligatures w14:val="none"/>
        </w:rPr>
      </w:r>
    </w:p>
    <w:p>
      <w:pPr>
        <w:pStyle w:val="843"/>
        <w:ind w:left="0" w:right="0" w:firstLine="425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Этап 3.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Заключительный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843"/>
        <w:ind w:left="0" w:right="0" w:firstLine="425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Оформление протокола, формирование заключения и рекомендаций ТПМПК №1 (дошкольной) Автозаводского района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МАУ «ППМС-центр им. В.П.Радченко»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. 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843"/>
        <w:ind w:left="0" w:right="0" w:firstLine="425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В случае необходимости срок оформления протокола и заключения комиссии продлевается, но не более чем на 15 рабочих дней с даты получения запрашиваемой информации.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843"/>
        <w:ind w:left="0" w:right="0" w:firstLine="425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Выдача заключения ТПМПК №1 (дошкольной) Автозаводского района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МАУ «ППМС-центр им. В.П.Радченко»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родителям (законным представителям); совершен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нолетнему обследуемому: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  <w14:ligatures w14:val="none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  <w14:ligatures w14:val="none"/>
        </w:rPr>
      </w:r>
    </w:p>
    <w:p>
      <w:pPr>
        <w:pStyle w:val="843"/>
        <w:ind w:left="0" w:right="0" w:firstLine="425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-консультирование и информирование родителей (законных представителей), совершеннолетнего обследуемого о результатах обследования;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  <w14:ligatures w14:val="none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  <w14:ligatures w14:val="none"/>
        </w:rPr>
      </w:r>
    </w:p>
    <w:p>
      <w:pPr>
        <w:pStyle w:val="843"/>
        <w:ind w:left="0" w:right="0" w:firstLine="425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-ознакомление родителей (законных представителей) обследуемого, совершеннолетнего обследуемого с заключением и рекомендациями комиссии.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  <w14:ligatures w14:val="none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  <w14:ligatures w14:val="none"/>
        </w:rPr>
      </w:r>
    </w:p>
    <w:p>
      <w:pPr>
        <w:pStyle w:val="843"/>
        <w:ind w:left="0" w:right="0" w:firstLine="425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-разъяснение (в случае необходимости) родителям (законным представителям) обследуемого, совершеннолетнему обследуемому в форме доступной для их понимания и профессионально обоснованной.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  <w14:ligatures w14:val="none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  <w14:ligatures w14:val="none"/>
        </w:rPr>
      </w:r>
    </w:p>
    <w:p>
      <w:pPr>
        <w:pStyle w:val="843"/>
        <w:ind w:left="0" w:right="0" w:firstLine="425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Заключение ТПМПК №1 (дошкольной) Автозаводского района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 "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МАУ «ППМС-центр им. В.П.Радченко»</w:t>
      </w:r>
      <w:r>
        <w:rPr>
          <w:rFonts w:ascii="Times New Roman" w:hAnsi="Times New Roman" w:eastAsia="Times New Roman" w:cs="Times New Roman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оформляет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ся в 2 экземплярах (оригиналы). Один из них выдается родителям (законным представителям) обследуемого либо совершеннолетнему обследуемому на руки под личную подпись, второй – хранится в личном деле обследуемого в ТПМПК №1 (дошкольную) Автозаводского района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МАУ «ППМС-центр им. В.П.Радченко»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843"/>
        <w:ind w:left="0" w:right="0" w:firstLine="425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Заключение комиссии носит для родителей (законных представителей) и совершеннолетних обследуемых рекомендательный характер.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843"/>
        <w:ind w:left="0" w:right="0" w:firstLine="425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Представленное родителем (законным представителем), совершеннолетним обследуемым заключение комиссии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является основанием для образовательной организации, исполнительных органов субъектов Российской Федерации, осуществляющих государственное управление в сфере образования, органов местного самоуправления, осуществляющих управление в сфере образования, для: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а) создания специальных условий для получения образования;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843"/>
        <w:ind w:left="0" w:right="0" w:firstLine="425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б) создания условий проведения индивидуальной профилактической работы с несовершеннолетними, находящимися в социально опасном положении.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843"/>
        <w:ind w:left="0" w:right="0" w:firstLine="425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Заключение ТПМПК действительно для 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предъявления в течение 1 календарного года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со дня его подписания.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843"/>
        <w:ind w:left="0" w:right="0" w:firstLine="425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Документы, предоставленные родителями на ТПМПК №1 (дошкольную) Автозаводского района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МАУ «ППМС-центр им. В.П.Радченко»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, обратно не возвращаются.  Копии протоколов ТПМПК №1 (дошкольной) Автозаводского района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МАУ «ППМС-центр им. В.П.Радченко»</w:t>
      </w:r>
      <w:r>
        <w:rPr>
          <w:rFonts w:ascii="Times New Roman" w:hAnsi="Times New Roman" w:eastAsia="Times New Roman" w:cs="Times New Roman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не выдаются.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843"/>
        <w:ind w:left="0" w:right="0" w:firstLine="425"/>
        <w:jc w:val="both"/>
        <w:spacing w:after="0" w:line="240" w:lineRule="auto"/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Информация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о проведении обследования ТПМПК №1 (дошкольной) Автозаводского района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МАУ «ППМС-центр им. В.П.Радченко»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, результаты обследования, а также иная информация, связанная с обследованием в комиссии, является 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конфиденциальной.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</w:rPr>
      </w:r>
    </w:p>
    <w:p>
      <w:pPr>
        <w:ind w:left="0" w:right="0" w:firstLine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порядком проведения обследования </w:t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ind w:left="0" w:right="0" w:firstLine="425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ind w:left="0" w:right="0" w:firstLine="425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ОЗНАКОМЛЕН____________</w:t>
      </w:r>
      <w:r>
        <w:rPr>
          <w:rFonts w:ascii="Times New Roman" w:hAnsi="Times New Roman" w:cs="Times New Roman"/>
          <w:sz w:val="24"/>
          <w:szCs w:val="24"/>
        </w:rPr>
        <w:t xml:space="preserve">________</w:t>
      </w:r>
      <w:r>
        <w:rPr>
          <w:rFonts w:ascii="Times New Roman" w:hAnsi="Times New Roman" w:cs="Times New Roman"/>
          <w:sz w:val="24"/>
          <w:szCs w:val="24"/>
        </w:rPr>
        <w:t xml:space="preserve">/__________________________/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/>
    </w:p>
    <w:p>
      <w:pPr>
        <w:spacing w:after="0"/>
        <w:tabs>
          <w:tab w:val="left" w:pos="5448" w:leader="none"/>
        </w:tabs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подпись</w:t>
      </w:r>
      <w:r>
        <w:rPr>
          <w:rFonts w:ascii="Times New Roman" w:hAnsi="Times New Roman" w:cs="Times New Roman"/>
          <w:sz w:val="16"/>
          <w:szCs w:val="16"/>
        </w:rPr>
        <w:tab/>
        <w:t xml:space="preserve">расшифровка ФИО</w:t>
      </w:r>
      <w:r>
        <w:rPr>
          <w:rFonts w:ascii="Times New Roman" w:hAnsi="Times New Roman" w:cs="Times New Roman"/>
          <w:sz w:val="16"/>
          <w:szCs w:val="16"/>
        </w:rPr>
      </w:r>
      <w:r>
        <w:rPr>
          <w:rFonts w:ascii="Times New Roman" w:hAnsi="Times New Roman" w:cs="Times New Roman"/>
          <w:sz w:val="16"/>
          <w:szCs w:val="16"/>
        </w:rPr>
      </w:r>
    </w:p>
    <w:sectPr>
      <w:footnotePr/>
      <w:endnotePr/>
      <w:type w:val="nextPage"/>
      <w:pgSz w:w="11906" w:h="16838" w:orient="portrait"/>
      <w:pgMar w:top="284" w:right="424" w:bottom="284" w:left="85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</w:font>
  <w:font w:name="Noto Sans Symbols">
    <w:panose1 w:val="020B0502040504020204"/>
  </w:font>
  <w:font w:name="Times New Roman">
    <w:panose1 w:val="02020603050405020304"/>
  </w:font>
  <w:font w:name="Segoe UI">
    <w:panose1 w:val="020B0503020203020204"/>
  </w:font>
  <w:font w:name="Calibri">
    <w:panose1 w:val="020F0502020204030204"/>
  </w:font>
  <w:font w:name="Liberation Sans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⎯"/>
      <w:lvlJc w:val="left"/>
      <w:pPr>
        <w:ind w:left="436" w:hanging="360"/>
      </w:pPr>
      <w:rPr>
        <w:rFonts w:ascii="Noto Sans Symbols" w:hAnsi="Noto Sans Symbols" w:eastAsia="Noto Sans Symbols" w:cs="Noto Sans Symbols"/>
      </w:rPr>
    </w:lvl>
    <w:lvl w:ilvl="1">
      <w:start w:val="1"/>
      <w:numFmt w:val="bullet"/>
      <w:isLgl w:val="false"/>
      <w:suff w:val="tab"/>
      <w:lvlText w:val="o"/>
      <w:lvlJc w:val="left"/>
      <w:pPr>
        <w:ind w:left="1156" w:hanging="360"/>
      </w:pPr>
      <w:rPr>
        <w:rFonts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▪"/>
      <w:lvlJc w:val="left"/>
      <w:pPr>
        <w:ind w:left="1876" w:hanging="360"/>
      </w:pPr>
      <w:rPr>
        <w:rFonts w:ascii="Noto Sans Symbols" w:hAnsi="Noto Sans Symbols" w:eastAsia="Noto Sans Symbols" w:cs="Noto Sans Symbols"/>
      </w:rPr>
    </w:lvl>
    <w:lvl w:ilvl="3">
      <w:start w:val="1"/>
      <w:numFmt w:val="bullet"/>
      <w:isLgl w:val="false"/>
      <w:suff w:val="tab"/>
      <w:lvlText w:val="●"/>
      <w:lvlJc w:val="left"/>
      <w:pPr>
        <w:ind w:left="2596" w:hanging="360"/>
      </w:pPr>
      <w:rPr>
        <w:rFonts w:ascii="Noto Sans Symbols" w:hAnsi="Noto Sans Symbols" w:eastAsia="Noto Sans Symbols" w:cs="Noto Sans Symbols"/>
      </w:rPr>
    </w:lvl>
    <w:lvl w:ilvl="4">
      <w:start w:val="1"/>
      <w:numFmt w:val="bullet"/>
      <w:isLgl w:val="false"/>
      <w:suff w:val="tab"/>
      <w:lvlText w:val="o"/>
      <w:lvlJc w:val="left"/>
      <w:pPr>
        <w:ind w:left="3316" w:hanging="360"/>
      </w:pPr>
      <w:rPr>
        <w:rFonts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▪"/>
      <w:lvlJc w:val="left"/>
      <w:pPr>
        <w:ind w:left="4036" w:hanging="360"/>
      </w:pPr>
      <w:rPr>
        <w:rFonts w:ascii="Noto Sans Symbols" w:hAnsi="Noto Sans Symbols" w:eastAsia="Noto Sans Symbols" w:cs="Noto Sans Symbols"/>
      </w:rPr>
    </w:lvl>
    <w:lvl w:ilvl="6">
      <w:start w:val="1"/>
      <w:numFmt w:val="bullet"/>
      <w:isLgl w:val="false"/>
      <w:suff w:val="tab"/>
      <w:lvlText w:val="●"/>
      <w:lvlJc w:val="left"/>
      <w:pPr>
        <w:ind w:left="4756" w:hanging="360"/>
      </w:pPr>
      <w:rPr>
        <w:rFonts w:ascii="Noto Sans Symbols" w:hAnsi="Noto Sans Symbols" w:eastAsia="Noto Sans Symbols" w:cs="Noto Sans Symbols"/>
      </w:rPr>
    </w:lvl>
    <w:lvl w:ilvl="7">
      <w:start w:val="1"/>
      <w:numFmt w:val="bullet"/>
      <w:isLgl w:val="false"/>
      <w:suff w:val="tab"/>
      <w:lvlText w:val="o"/>
      <w:lvlJc w:val="left"/>
      <w:pPr>
        <w:ind w:left="5476" w:hanging="360"/>
      </w:pPr>
      <w:rPr>
        <w:rFonts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▪"/>
      <w:lvlJc w:val="left"/>
      <w:pPr>
        <w:ind w:left="6196" w:hanging="360"/>
      </w:pPr>
      <w:rPr>
        <w:rFonts w:ascii="Noto Sans Symbols" w:hAnsi="Noto Sans Symbols" w:eastAsia="Noto Sans Symbols" w:cs="Noto Sans Symbols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⎯"/>
      <w:lvlJc w:val="left"/>
      <w:pPr>
        <w:ind w:left="436" w:hanging="360"/>
      </w:pPr>
      <w:rPr>
        <w:rFonts w:ascii="Noto Sans Symbols" w:hAnsi="Noto Sans Symbols" w:eastAsia="Noto Sans Symbols" w:cs="Noto Sans Symbols"/>
      </w:rPr>
    </w:lvl>
    <w:lvl w:ilvl="1">
      <w:start w:val="1"/>
      <w:numFmt w:val="bullet"/>
      <w:isLgl w:val="false"/>
      <w:suff w:val="tab"/>
      <w:lvlText w:val="o"/>
      <w:lvlJc w:val="left"/>
      <w:pPr>
        <w:ind w:left="1156" w:hanging="360"/>
      </w:pPr>
      <w:rPr>
        <w:rFonts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▪"/>
      <w:lvlJc w:val="left"/>
      <w:pPr>
        <w:ind w:left="1876" w:hanging="360"/>
      </w:pPr>
      <w:rPr>
        <w:rFonts w:ascii="Noto Sans Symbols" w:hAnsi="Noto Sans Symbols" w:eastAsia="Noto Sans Symbols" w:cs="Noto Sans Symbols"/>
      </w:rPr>
    </w:lvl>
    <w:lvl w:ilvl="3">
      <w:start w:val="1"/>
      <w:numFmt w:val="bullet"/>
      <w:isLgl w:val="false"/>
      <w:suff w:val="tab"/>
      <w:lvlText w:val="●"/>
      <w:lvlJc w:val="left"/>
      <w:pPr>
        <w:ind w:left="2596" w:hanging="360"/>
      </w:pPr>
      <w:rPr>
        <w:rFonts w:ascii="Noto Sans Symbols" w:hAnsi="Noto Sans Symbols" w:eastAsia="Noto Sans Symbols" w:cs="Noto Sans Symbols"/>
      </w:rPr>
    </w:lvl>
    <w:lvl w:ilvl="4">
      <w:start w:val="1"/>
      <w:numFmt w:val="bullet"/>
      <w:isLgl w:val="false"/>
      <w:suff w:val="tab"/>
      <w:lvlText w:val="o"/>
      <w:lvlJc w:val="left"/>
      <w:pPr>
        <w:ind w:left="3316" w:hanging="360"/>
      </w:pPr>
      <w:rPr>
        <w:rFonts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▪"/>
      <w:lvlJc w:val="left"/>
      <w:pPr>
        <w:ind w:left="4036" w:hanging="360"/>
      </w:pPr>
      <w:rPr>
        <w:rFonts w:ascii="Noto Sans Symbols" w:hAnsi="Noto Sans Symbols" w:eastAsia="Noto Sans Symbols" w:cs="Noto Sans Symbols"/>
      </w:rPr>
    </w:lvl>
    <w:lvl w:ilvl="6">
      <w:start w:val="1"/>
      <w:numFmt w:val="bullet"/>
      <w:isLgl w:val="false"/>
      <w:suff w:val="tab"/>
      <w:lvlText w:val="●"/>
      <w:lvlJc w:val="left"/>
      <w:pPr>
        <w:ind w:left="4756" w:hanging="360"/>
      </w:pPr>
      <w:rPr>
        <w:rFonts w:ascii="Noto Sans Symbols" w:hAnsi="Noto Sans Symbols" w:eastAsia="Noto Sans Symbols" w:cs="Noto Sans Symbols"/>
      </w:rPr>
    </w:lvl>
    <w:lvl w:ilvl="7">
      <w:start w:val="1"/>
      <w:numFmt w:val="bullet"/>
      <w:isLgl w:val="false"/>
      <w:suff w:val="tab"/>
      <w:lvlText w:val="o"/>
      <w:lvlJc w:val="left"/>
      <w:pPr>
        <w:ind w:left="5476" w:hanging="360"/>
      </w:pPr>
      <w:rPr>
        <w:rFonts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▪"/>
      <w:lvlJc w:val="left"/>
      <w:pPr>
        <w:ind w:left="6196" w:hanging="360"/>
      </w:pPr>
      <w:rPr>
        <w:rFonts w:ascii="Noto Sans Symbols" w:hAnsi="Noto Sans Symbols" w:eastAsia="Noto Sans Symbols" w:cs="Noto Sans Symbol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⎯"/>
      <w:lvlJc w:val="left"/>
      <w:pPr>
        <w:ind w:left="436" w:hanging="360"/>
      </w:pPr>
      <w:rPr>
        <w:rFonts w:ascii="Noto Sans Symbols" w:hAnsi="Noto Sans Symbols" w:eastAsia="Noto Sans Symbols" w:cs="Noto Sans Symbols"/>
      </w:rPr>
    </w:lvl>
    <w:lvl w:ilvl="1">
      <w:start w:val="1"/>
      <w:numFmt w:val="bullet"/>
      <w:isLgl w:val="false"/>
      <w:suff w:val="tab"/>
      <w:lvlText w:val="o"/>
      <w:lvlJc w:val="left"/>
      <w:pPr>
        <w:ind w:left="1156" w:hanging="360"/>
      </w:pPr>
      <w:rPr>
        <w:rFonts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▪"/>
      <w:lvlJc w:val="left"/>
      <w:pPr>
        <w:ind w:left="1876" w:hanging="360"/>
      </w:pPr>
      <w:rPr>
        <w:rFonts w:ascii="Noto Sans Symbols" w:hAnsi="Noto Sans Symbols" w:eastAsia="Noto Sans Symbols" w:cs="Noto Sans Symbols"/>
      </w:rPr>
    </w:lvl>
    <w:lvl w:ilvl="3">
      <w:start w:val="1"/>
      <w:numFmt w:val="bullet"/>
      <w:isLgl w:val="false"/>
      <w:suff w:val="tab"/>
      <w:lvlText w:val="●"/>
      <w:lvlJc w:val="left"/>
      <w:pPr>
        <w:ind w:left="2596" w:hanging="360"/>
      </w:pPr>
      <w:rPr>
        <w:rFonts w:ascii="Noto Sans Symbols" w:hAnsi="Noto Sans Symbols" w:eastAsia="Noto Sans Symbols" w:cs="Noto Sans Symbols"/>
      </w:rPr>
    </w:lvl>
    <w:lvl w:ilvl="4">
      <w:start w:val="1"/>
      <w:numFmt w:val="bullet"/>
      <w:isLgl w:val="false"/>
      <w:suff w:val="tab"/>
      <w:lvlText w:val="o"/>
      <w:lvlJc w:val="left"/>
      <w:pPr>
        <w:ind w:left="3316" w:hanging="360"/>
      </w:pPr>
      <w:rPr>
        <w:rFonts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▪"/>
      <w:lvlJc w:val="left"/>
      <w:pPr>
        <w:ind w:left="4036" w:hanging="360"/>
      </w:pPr>
      <w:rPr>
        <w:rFonts w:ascii="Noto Sans Symbols" w:hAnsi="Noto Sans Symbols" w:eastAsia="Noto Sans Symbols" w:cs="Noto Sans Symbols"/>
      </w:rPr>
    </w:lvl>
    <w:lvl w:ilvl="6">
      <w:start w:val="1"/>
      <w:numFmt w:val="bullet"/>
      <w:isLgl w:val="false"/>
      <w:suff w:val="tab"/>
      <w:lvlText w:val="●"/>
      <w:lvlJc w:val="left"/>
      <w:pPr>
        <w:ind w:left="4756" w:hanging="360"/>
      </w:pPr>
      <w:rPr>
        <w:rFonts w:ascii="Noto Sans Symbols" w:hAnsi="Noto Sans Symbols" w:eastAsia="Noto Sans Symbols" w:cs="Noto Sans Symbols"/>
      </w:rPr>
    </w:lvl>
    <w:lvl w:ilvl="7">
      <w:start w:val="1"/>
      <w:numFmt w:val="bullet"/>
      <w:isLgl w:val="false"/>
      <w:suff w:val="tab"/>
      <w:lvlText w:val="o"/>
      <w:lvlJc w:val="left"/>
      <w:pPr>
        <w:ind w:left="5476" w:hanging="360"/>
      </w:pPr>
      <w:rPr>
        <w:rFonts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▪"/>
      <w:lvlJc w:val="left"/>
      <w:pPr>
        <w:ind w:left="6196" w:hanging="360"/>
      </w:pPr>
      <w:rPr>
        <w:rFonts w:ascii="Noto Sans Symbols" w:hAnsi="Noto Sans Symbols" w:eastAsia="Noto Sans Symbols" w:cs="Noto Sans Symbols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61">
    <w:name w:val="Heading 1"/>
    <w:basedOn w:val="839"/>
    <w:next w:val="839"/>
    <w:link w:val="662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662">
    <w:name w:val="Heading 1 Char"/>
    <w:basedOn w:val="840"/>
    <w:link w:val="661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663">
    <w:name w:val="Heading 2"/>
    <w:basedOn w:val="839"/>
    <w:next w:val="839"/>
    <w:link w:val="664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664">
    <w:name w:val="Heading 2 Char"/>
    <w:basedOn w:val="840"/>
    <w:link w:val="663"/>
    <w:uiPriority w:val="9"/>
    <w:rPr>
      <w:rFonts w:ascii="Liberation Sans" w:hAnsi="Liberation Sans" w:eastAsia="Liberation Sans" w:cs="Liberation Sans"/>
      <w:sz w:val="34"/>
    </w:rPr>
  </w:style>
  <w:style w:type="paragraph" w:styleId="665">
    <w:name w:val="Heading 3"/>
    <w:basedOn w:val="839"/>
    <w:next w:val="839"/>
    <w:link w:val="666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666">
    <w:name w:val="Heading 3 Char"/>
    <w:basedOn w:val="840"/>
    <w:link w:val="665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667">
    <w:name w:val="Heading 4"/>
    <w:basedOn w:val="839"/>
    <w:next w:val="839"/>
    <w:link w:val="668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68">
    <w:name w:val="Heading 4 Char"/>
    <w:basedOn w:val="840"/>
    <w:link w:val="667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669">
    <w:name w:val="Heading 5"/>
    <w:basedOn w:val="839"/>
    <w:next w:val="839"/>
    <w:link w:val="670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70">
    <w:name w:val="Heading 5 Char"/>
    <w:basedOn w:val="840"/>
    <w:link w:val="669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671">
    <w:name w:val="Heading 6"/>
    <w:basedOn w:val="839"/>
    <w:next w:val="839"/>
    <w:link w:val="672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672">
    <w:name w:val="Heading 6 Char"/>
    <w:basedOn w:val="840"/>
    <w:link w:val="671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673">
    <w:name w:val="Heading 7"/>
    <w:basedOn w:val="839"/>
    <w:next w:val="839"/>
    <w:link w:val="674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674">
    <w:name w:val="Heading 7 Char"/>
    <w:basedOn w:val="840"/>
    <w:link w:val="673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675">
    <w:name w:val="Heading 8"/>
    <w:basedOn w:val="839"/>
    <w:next w:val="839"/>
    <w:link w:val="676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676">
    <w:name w:val="Heading 8 Char"/>
    <w:basedOn w:val="840"/>
    <w:link w:val="675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677">
    <w:name w:val="Heading 9"/>
    <w:basedOn w:val="839"/>
    <w:next w:val="839"/>
    <w:link w:val="678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678">
    <w:name w:val="Heading 9 Char"/>
    <w:basedOn w:val="840"/>
    <w:link w:val="677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679">
    <w:name w:val="List Paragraph"/>
    <w:basedOn w:val="839"/>
    <w:uiPriority w:val="34"/>
    <w:qFormat/>
    <w:pPr>
      <w:contextualSpacing/>
      <w:ind w:left="720"/>
    </w:pPr>
  </w:style>
  <w:style w:type="paragraph" w:styleId="680">
    <w:name w:val="No Spacing"/>
    <w:uiPriority w:val="1"/>
    <w:qFormat/>
    <w:pPr>
      <w:spacing w:before="0" w:after="0" w:line="240" w:lineRule="auto"/>
    </w:pPr>
  </w:style>
  <w:style w:type="paragraph" w:styleId="681">
    <w:name w:val="Title"/>
    <w:basedOn w:val="839"/>
    <w:next w:val="839"/>
    <w:link w:val="682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82">
    <w:name w:val="Title Char"/>
    <w:basedOn w:val="840"/>
    <w:link w:val="681"/>
    <w:uiPriority w:val="10"/>
    <w:rPr>
      <w:sz w:val="48"/>
      <w:szCs w:val="48"/>
    </w:rPr>
  </w:style>
  <w:style w:type="paragraph" w:styleId="683">
    <w:name w:val="Subtitle"/>
    <w:basedOn w:val="839"/>
    <w:next w:val="839"/>
    <w:link w:val="684"/>
    <w:uiPriority w:val="11"/>
    <w:qFormat/>
    <w:pPr>
      <w:spacing w:before="200" w:after="200"/>
    </w:pPr>
    <w:rPr>
      <w:sz w:val="24"/>
      <w:szCs w:val="24"/>
    </w:rPr>
  </w:style>
  <w:style w:type="character" w:styleId="684">
    <w:name w:val="Subtitle Char"/>
    <w:basedOn w:val="840"/>
    <w:link w:val="683"/>
    <w:uiPriority w:val="11"/>
    <w:rPr>
      <w:sz w:val="24"/>
      <w:szCs w:val="24"/>
    </w:rPr>
  </w:style>
  <w:style w:type="paragraph" w:styleId="685">
    <w:name w:val="Quote"/>
    <w:basedOn w:val="839"/>
    <w:next w:val="839"/>
    <w:link w:val="686"/>
    <w:uiPriority w:val="29"/>
    <w:qFormat/>
    <w:pPr>
      <w:ind w:left="720" w:right="720"/>
    </w:pPr>
    <w:rPr>
      <w:i/>
    </w:rPr>
  </w:style>
  <w:style w:type="character" w:styleId="686">
    <w:name w:val="Quote Char"/>
    <w:link w:val="685"/>
    <w:uiPriority w:val="29"/>
    <w:rPr>
      <w:i/>
    </w:rPr>
  </w:style>
  <w:style w:type="paragraph" w:styleId="687">
    <w:name w:val="Intense Quote"/>
    <w:basedOn w:val="839"/>
    <w:next w:val="839"/>
    <w:link w:val="688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8">
    <w:name w:val="Intense Quote Char"/>
    <w:link w:val="687"/>
    <w:uiPriority w:val="30"/>
    <w:rPr>
      <w:i/>
    </w:rPr>
  </w:style>
  <w:style w:type="paragraph" w:styleId="689">
    <w:name w:val="Header"/>
    <w:basedOn w:val="839"/>
    <w:link w:val="690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90">
    <w:name w:val="Header Char"/>
    <w:basedOn w:val="840"/>
    <w:link w:val="689"/>
    <w:uiPriority w:val="99"/>
  </w:style>
  <w:style w:type="paragraph" w:styleId="691">
    <w:name w:val="Footer"/>
    <w:basedOn w:val="839"/>
    <w:link w:val="69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92">
    <w:name w:val="Footer Char"/>
    <w:basedOn w:val="840"/>
    <w:link w:val="691"/>
    <w:uiPriority w:val="99"/>
  </w:style>
  <w:style w:type="paragraph" w:styleId="693">
    <w:name w:val="Caption"/>
    <w:basedOn w:val="839"/>
    <w:next w:val="839"/>
    <w:link w:val="694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94">
    <w:name w:val="Caption Char"/>
    <w:basedOn w:val="840"/>
    <w:link w:val="693"/>
    <w:uiPriority w:val="35"/>
    <w:rPr>
      <w:b/>
      <w:bCs/>
      <w:color w:val="4f81bd" w:themeColor="accent1"/>
      <w:sz w:val="18"/>
      <w:szCs w:val="18"/>
    </w:rPr>
  </w:style>
  <w:style w:type="table" w:styleId="695">
    <w:name w:val="Table Grid"/>
    <w:basedOn w:val="841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6">
    <w:name w:val="Table Grid Light"/>
    <w:basedOn w:val="84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7">
    <w:name w:val="Plain Table 1"/>
    <w:basedOn w:val="84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698">
    <w:name w:val="Plain Table 2"/>
    <w:basedOn w:val="84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699">
    <w:name w:val="Plain Table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00">
    <w:name w:val="Plain Table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Plain Table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02">
    <w:name w:val="Grid Table 1 Light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>
    <w:name w:val="Grid Table 1 Light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4">
    <w:name w:val="Grid Table 1 Light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5">
    <w:name w:val="Grid Table 1 Light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6">
    <w:name w:val="Grid Table 1 Light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7">
    <w:name w:val="Grid Table 1 Light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8">
    <w:name w:val="Grid Table 1 Light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9">
    <w:name w:val="Grid Table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2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2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2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2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2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2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3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3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3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3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3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3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4"/>
    <w:basedOn w:val="84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24">
    <w:name w:val="Grid Table 4 - Accent 1"/>
    <w:basedOn w:val="84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25">
    <w:name w:val="Grid Table 4 - Accent 2"/>
    <w:basedOn w:val="84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6">
    <w:name w:val="Grid Table 4 - Accent 3"/>
    <w:basedOn w:val="84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7">
    <w:name w:val="Grid Table 4 - Accent 4"/>
    <w:basedOn w:val="84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8">
    <w:name w:val="Grid Table 4 - Accent 5"/>
    <w:basedOn w:val="84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9">
    <w:name w:val="Grid Table 4 - Accent 6"/>
    <w:basedOn w:val="84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30">
    <w:name w:val="Grid Table 5 Dark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31">
    <w:name w:val="Grid Table 5 Dark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32">
    <w:name w:val="Grid Table 5 Dark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33">
    <w:name w:val="Grid Table 5 Dark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34">
    <w:name w:val="Grid Table 5 Dark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35">
    <w:name w:val="Grid Table 5 Dark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36">
    <w:name w:val="Grid Table 5 Dark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37">
    <w:name w:val="Grid Table 6 Colorful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738">
    <w:name w:val="Grid Table 6 Colorful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739">
    <w:name w:val="Grid Table 6 Colorful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740">
    <w:name w:val="Grid Table 6 Colorful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741">
    <w:name w:val="Grid Table 6 Colorful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742">
    <w:name w:val="Grid Table 6 Colorful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43">
    <w:name w:val="Grid Table 6 Colorful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44">
    <w:name w:val="Grid Table 7 Colorful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7 Colorful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7 Colorful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7 Colorful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7 Colorful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7 Colorful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7 Colorful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1 Light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List Table 1 Light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List Table 1 Light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List Table 1 Light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List Table 1 Light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List Table 1 Light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List Table 1 Light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List Table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9">
    <w:name w:val="List Table 2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60">
    <w:name w:val="List Table 2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61">
    <w:name w:val="List Table 2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62">
    <w:name w:val="List Table 2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63">
    <w:name w:val="List Table 2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64">
    <w:name w:val="List Table 2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65">
    <w:name w:val="List Table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3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3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3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3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3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3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4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4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List Table 4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List Table 4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List Table 4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>
    <w:name w:val="List Table 4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List Table 5 Dark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0">
    <w:name w:val="List Table 5 Dark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1">
    <w:name w:val="List Table 5 Dark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2">
    <w:name w:val="List Table 5 Dark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3">
    <w:name w:val="List Table 5 Dark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4">
    <w:name w:val="List Table 5 Dark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5">
    <w:name w:val="List Table 5 Dark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6">
    <w:name w:val="List Table 6 Colorful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7">
    <w:name w:val="List Table 6 Colorful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8">
    <w:name w:val="List Table 6 Colorful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9">
    <w:name w:val="List Table 6 Colorful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90">
    <w:name w:val="List Table 6 Colorful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91">
    <w:name w:val="List Table 6 Colorful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92">
    <w:name w:val="List Table 6 Colorful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93">
    <w:name w:val="List Table 7 Colorful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794">
    <w:name w:val="List Table 7 Colorful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795">
    <w:name w:val="List Table 7 Colorful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796">
    <w:name w:val="List Table 7 Colorful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797">
    <w:name w:val="List Table 7 Colorful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798">
    <w:name w:val="List Table 7 Colorful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799">
    <w:name w:val="List Table 7 Colorful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800">
    <w:name w:val="Lined - Accent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1">
    <w:name w:val="Lined - Accent 1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2">
    <w:name w:val="Lined - Accent 2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3">
    <w:name w:val="Lined - Accent 3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4">
    <w:name w:val="Lined - Accent 4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5">
    <w:name w:val="Lined - Accent 5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6">
    <w:name w:val="Lined - Accent 6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7">
    <w:name w:val="Bordered &amp; Lined - Accent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8">
    <w:name w:val="Bordered &amp; Lined - Accent 1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9">
    <w:name w:val="Bordered &amp; Lined - Accent 2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10">
    <w:name w:val="Bordered &amp; Lined - Accent 3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11">
    <w:name w:val="Bordered &amp; Lined - Accent 4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12">
    <w:name w:val="Bordered &amp; Lined - Accent 5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13">
    <w:name w:val="Bordered &amp; Lined - Accent 6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14">
    <w:name w:val="Bordered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15">
    <w:name w:val="Bordered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6">
    <w:name w:val="Bordered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7">
    <w:name w:val="Bordered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8">
    <w:name w:val="Bordered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9">
    <w:name w:val="Bordered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20">
    <w:name w:val="Bordered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21">
    <w:name w:val="Hyperlink"/>
    <w:uiPriority w:val="99"/>
    <w:unhideWhenUsed/>
    <w:rPr>
      <w:color w:val="0000ff" w:themeColor="hyperlink"/>
      <w:u w:val="single"/>
    </w:rPr>
  </w:style>
  <w:style w:type="paragraph" w:styleId="822">
    <w:name w:val="footnote text"/>
    <w:basedOn w:val="839"/>
    <w:link w:val="823"/>
    <w:uiPriority w:val="99"/>
    <w:semiHidden/>
    <w:unhideWhenUsed/>
    <w:pPr>
      <w:spacing w:after="40" w:line="240" w:lineRule="auto"/>
    </w:pPr>
    <w:rPr>
      <w:sz w:val="18"/>
    </w:rPr>
  </w:style>
  <w:style w:type="character" w:styleId="823">
    <w:name w:val="Footnote Text Char"/>
    <w:link w:val="822"/>
    <w:uiPriority w:val="99"/>
    <w:rPr>
      <w:sz w:val="18"/>
    </w:rPr>
  </w:style>
  <w:style w:type="character" w:styleId="824">
    <w:name w:val="footnote reference"/>
    <w:basedOn w:val="840"/>
    <w:uiPriority w:val="99"/>
    <w:unhideWhenUsed/>
    <w:rPr>
      <w:vertAlign w:val="superscript"/>
    </w:rPr>
  </w:style>
  <w:style w:type="paragraph" w:styleId="825">
    <w:name w:val="endnote text"/>
    <w:basedOn w:val="839"/>
    <w:link w:val="826"/>
    <w:uiPriority w:val="99"/>
    <w:semiHidden/>
    <w:unhideWhenUsed/>
    <w:pPr>
      <w:spacing w:after="0" w:line="240" w:lineRule="auto"/>
    </w:pPr>
    <w:rPr>
      <w:sz w:val="20"/>
    </w:rPr>
  </w:style>
  <w:style w:type="character" w:styleId="826">
    <w:name w:val="Endnote Text Char"/>
    <w:link w:val="825"/>
    <w:uiPriority w:val="99"/>
    <w:rPr>
      <w:sz w:val="20"/>
    </w:rPr>
  </w:style>
  <w:style w:type="character" w:styleId="827">
    <w:name w:val="endnote reference"/>
    <w:basedOn w:val="840"/>
    <w:uiPriority w:val="99"/>
    <w:semiHidden/>
    <w:unhideWhenUsed/>
    <w:rPr>
      <w:vertAlign w:val="superscript"/>
    </w:rPr>
  </w:style>
  <w:style w:type="paragraph" w:styleId="828">
    <w:name w:val="toc 1"/>
    <w:basedOn w:val="839"/>
    <w:next w:val="839"/>
    <w:uiPriority w:val="39"/>
    <w:unhideWhenUsed/>
    <w:pPr>
      <w:ind w:left="0" w:right="0" w:firstLine="0"/>
      <w:spacing w:after="57"/>
    </w:pPr>
  </w:style>
  <w:style w:type="paragraph" w:styleId="829">
    <w:name w:val="toc 2"/>
    <w:basedOn w:val="839"/>
    <w:next w:val="839"/>
    <w:uiPriority w:val="39"/>
    <w:unhideWhenUsed/>
    <w:pPr>
      <w:ind w:left="283" w:right="0" w:firstLine="0"/>
      <w:spacing w:after="57"/>
    </w:pPr>
  </w:style>
  <w:style w:type="paragraph" w:styleId="830">
    <w:name w:val="toc 3"/>
    <w:basedOn w:val="839"/>
    <w:next w:val="839"/>
    <w:uiPriority w:val="39"/>
    <w:unhideWhenUsed/>
    <w:pPr>
      <w:ind w:left="567" w:right="0" w:firstLine="0"/>
      <w:spacing w:after="57"/>
    </w:pPr>
  </w:style>
  <w:style w:type="paragraph" w:styleId="831">
    <w:name w:val="toc 4"/>
    <w:basedOn w:val="839"/>
    <w:next w:val="839"/>
    <w:uiPriority w:val="39"/>
    <w:unhideWhenUsed/>
    <w:pPr>
      <w:ind w:left="850" w:right="0" w:firstLine="0"/>
      <w:spacing w:after="57"/>
    </w:pPr>
  </w:style>
  <w:style w:type="paragraph" w:styleId="832">
    <w:name w:val="toc 5"/>
    <w:basedOn w:val="839"/>
    <w:next w:val="839"/>
    <w:uiPriority w:val="39"/>
    <w:unhideWhenUsed/>
    <w:pPr>
      <w:ind w:left="1134" w:right="0" w:firstLine="0"/>
      <w:spacing w:after="57"/>
    </w:pPr>
  </w:style>
  <w:style w:type="paragraph" w:styleId="833">
    <w:name w:val="toc 6"/>
    <w:basedOn w:val="839"/>
    <w:next w:val="839"/>
    <w:uiPriority w:val="39"/>
    <w:unhideWhenUsed/>
    <w:pPr>
      <w:ind w:left="1417" w:right="0" w:firstLine="0"/>
      <w:spacing w:after="57"/>
    </w:pPr>
  </w:style>
  <w:style w:type="paragraph" w:styleId="834">
    <w:name w:val="toc 7"/>
    <w:basedOn w:val="839"/>
    <w:next w:val="839"/>
    <w:uiPriority w:val="39"/>
    <w:unhideWhenUsed/>
    <w:pPr>
      <w:ind w:left="1701" w:right="0" w:firstLine="0"/>
      <w:spacing w:after="57"/>
    </w:pPr>
  </w:style>
  <w:style w:type="paragraph" w:styleId="835">
    <w:name w:val="toc 8"/>
    <w:basedOn w:val="839"/>
    <w:next w:val="839"/>
    <w:uiPriority w:val="39"/>
    <w:unhideWhenUsed/>
    <w:pPr>
      <w:ind w:left="1984" w:right="0" w:firstLine="0"/>
      <w:spacing w:after="57"/>
    </w:pPr>
  </w:style>
  <w:style w:type="paragraph" w:styleId="836">
    <w:name w:val="toc 9"/>
    <w:basedOn w:val="839"/>
    <w:next w:val="839"/>
    <w:uiPriority w:val="39"/>
    <w:unhideWhenUsed/>
    <w:pPr>
      <w:ind w:left="2268" w:right="0" w:firstLine="0"/>
      <w:spacing w:after="57"/>
    </w:pPr>
  </w:style>
  <w:style w:type="paragraph" w:styleId="837">
    <w:name w:val="TOC Heading"/>
    <w:uiPriority w:val="39"/>
    <w:unhideWhenUsed/>
  </w:style>
  <w:style w:type="paragraph" w:styleId="838">
    <w:name w:val="table of figures"/>
    <w:basedOn w:val="839"/>
    <w:next w:val="839"/>
    <w:uiPriority w:val="99"/>
    <w:unhideWhenUsed/>
    <w:pPr>
      <w:spacing w:after="0" w:afterAutospacing="0"/>
    </w:pPr>
  </w:style>
  <w:style w:type="paragraph" w:styleId="839" w:default="1">
    <w:name w:val="Normal"/>
    <w:qFormat/>
  </w:style>
  <w:style w:type="character" w:styleId="840" w:default="1">
    <w:name w:val="Default Paragraph Font"/>
    <w:uiPriority w:val="1"/>
    <w:semiHidden/>
    <w:unhideWhenUsed/>
  </w:style>
  <w:style w:type="table" w:styleId="84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42" w:default="1">
    <w:name w:val="No List"/>
    <w:uiPriority w:val="99"/>
    <w:semiHidden/>
    <w:unhideWhenUsed/>
  </w:style>
  <w:style w:type="paragraph" w:styleId="843" w:customStyle="1">
    <w:name w:val="Обычный1"/>
    <w:pPr>
      <w:spacing w:after="160" w:line="259" w:lineRule="auto"/>
    </w:pPr>
    <w:rPr>
      <w:rFonts w:ascii="Calibri" w:hAnsi="Calibri" w:eastAsia="Calibri" w:cs="Calibri"/>
      <w:lang w:eastAsia="ru-RU"/>
    </w:rPr>
  </w:style>
  <w:style w:type="paragraph" w:styleId="844">
    <w:name w:val="Balloon Text"/>
    <w:basedOn w:val="839"/>
    <w:link w:val="845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845" w:customStyle="1">
    <w:name w:val="Текст выноски Знак"/>
    <w:basedOn w:val="840"/>
    <w:link w:val="844"/>
    <w:uiPriority w:val="99"/>
    <w:semiHidden/>
    <w:rPr>
      <w:rFonts w:ascii="Segoe UI" w:hAnsi="Segoe UI" w:cs="Segoe UI"/>
      <w:sz w:val="18"/>
      <w:szCs w:val="18"/>
    </w:rPr>
  </w:style>
  <w:style w:type="paragraph" w:styleId="846" w:customStyle="1">
    <w:name w:val="Default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cs="Times New Roman" w:eastAsiaTheme="minorHAnsi"/>
      <w:b w:val="0"/>
      <w:bCs w:val="0"/>
      <w:i w:val="0"/>
      <w:iCs w:val="0"/>
      <w:caps w:val="0"/>
      <w:smallCaps w:val="0"/>
      <w:strike w:val="0"/>
      <w:vanish w:val="0"/>
      <w:color w:val="000000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en-US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Р7-Офис/2025.4.1.1604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o.skorodelova</cp:lastModifiedBy>
  <cp:revision>9</cp:revision>
  <dcterms:created xsi:type="dcterms:W3CDTF">2025-03-20T09:00:00Z</dcterms:created>
  <dcterms:modified xsi:type="dcterms:W3CDTF">2026-02-20T12:15:49Z</dcterms:modified>
</cp:coreProperties>
</file>